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3A7450F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3340D7">
        <w:rPr>
          <w:rFonts w:ascii="Times New Roman" w:eastAsia="Times New Roman" w:hAnsi="Times New Roman"/>
        </w:rPr>
        <w:t>Proportionality and Three-Dimensional Geometric Concepts</w:t>
      </w:r>
      <w:r w:rsidR="00A244D6" w:rsidRPr="00F358D9">
        <w:rPr>
          <w:rFonts w:ascii="Times New Roman" w:hAnsi="Times New Roman"/>
        </w:rPr>
        <w:t xml:space="preserve"> – Unit </w:t>
      </w:r>
      <w:r w:rsidR="003340D7">
        <w:rPr>
          <w:rFonts w:ascii="Times New Roman" w:eastAsia="Times New Roman" w:hAnsi="Times New Roman"/>
        </w:rPr>
        <w:t>3</w:t>
      </w:r>
      <w:r w:rsidR="00A244D6" w:rsidRPr="00F358D9">
        <w:rPr>
          <w:rFonts w:ascii="Times New Roman" w:hAnsi="Times New Roman"/>
        </w:rPr>
        <w:t xml:space="preserve"> – </w:t>
      </w:r>
      <w:r w:rsidR="00D90239">
        <w:rPr>
          <w:rFonts w:ascii="Times New Roman" w:hAnsi="Times New Roman"/>
        </w:rPr>
        <w:br/>
      </w:r>
      <w:r w:rsidR="00A244D6" w:rsidRPr="00F358D9">
        <w:rPr>
          <w:rFonts w:ascii="Times New Roman" w:hAnsi="Times New Roman"/>
        </w:rPr>
        <w:t xml:space="preserve">Module </w:t>
      </w:r>
      <w:r w:rsidR="003340D7">
        <w:rPr>
          <w:rFonts w:ascii="Times New Roman" w:eastAsia="Times New Roman" w:hAnsi="Times New Roman"/>
        </w:rPr>
        <w:t>A</w:t>
      </w:r>
    </w:p>
    <w:p w14:paraId="12AE012C" w14:textId="3E569B28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3340D7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E988E07" w14:textId="77777777" w:rsidR="0047464C" w:rsidRDefault="0047464C" w:rsidP="0047464C"/>
    <w:p w14:paraId="7008BFB0" w14:textId="4658740F" w:rsidR="0047464C" w:rsidRDefault="007F7E57" w:rsidP="00D90239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B4182D7" wp14:editId="1B457AA1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D0E61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4746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7.RP.A.1 </w:t>
      </w:r>
      <w:r w:rsidR="0047464C">
        <w:rPr>
          <w:rFonts w:ascii="Times New Roman" w:eastAsia="Times New Roman" w:hAnsi="Times New Roman" w:cs="Times New Roman"/>
          <w:color w:val="000000"/>
          <w:sz w:val="24"/>
          <w:szCs w:val="24"/>
        </w:rPr>
        <w:t>Compute unit rates associated with ratios of fractions, including ratios of lengths, areas and other quantities measured in like or different</w:t>
      </w:r>
      <w:r w:rsidR="00D90239">
        <w:t xml:space="preserve"> </w:t>
      </w:r>
      <w:r w:rsidR="0047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units. </w:t>
      </w:r>
      <w:r w:rsidR="00474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For example, if a person walks </w:t>
      </w:r>
      <w:r w:rsidR="0047464C">
        <w:rPr>
          <w:rFonts w:ascii="Times New Roman" w:eastAsia="Times New Roman" w:hAnsi="Times New Roman" w:cs="Times New Roman"/>
          <w:color w:val="000000"/>
          <w:sz w:val="24"/>
          <w:szCs w:val="24"/>
        </w:rPr>
        <w:t>½</w:t>
      </w:r>
      <w:r w:rsidR="00474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mile in each </w:t>
      </w:r>
      <w:r w:rsidR="0047464C">
        <w:rPr>
          <w:rFonts w:ascii="Times New Roman" w:eastAsia="Times New Roman" w:hAnsi="Times New Roman" w:cs="Times New Roman"/>
          <w:color w:val="000000"/>
          <w:sz w:val="24"/>
          <w:szCs w:val="24"/>
        </w:rPr>
        <w:t>¼</w:t>
      </w:r>
      <w:r w:rsidR="00474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hour, compute the unit rate as the complex fraction </w:t>
      </w:r>
      <w:r w:rsidR="0047464C">
        <w:rPr>
          <w:rFonts w:ascii="Times New Roman" w:eastAsia="Times New Roman" w:hAnsi="Times New Roman" w:cs="Times New Roman"/>
          <w:color w:val="000000"/>
          <w:sz w:val="24"/>
          <w:szCs w:val="24"/>
        </w:rPr>
        <w:t>½</w:t>
      </w:r>
      <w:r w:rsidR="00474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47464C">
        <w:rPr>
          <w:rFonts w:ascii="Times New Roman" w:eastAsia="Times New Roman" w:hAnsi="Times New Roman" w:cs="Times New Roman"/>
          <w:color w:val="000000"/>
          <w:sz w:val="24"/>
          <w:szCs w:val="24"/>
        </w:rPr>
        <w:t>¼</w:t>
      </w:r>
      <w:r w:rsidR="00474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miles per hour, equivalently 2</w:t>
      </w:r>
      <w:r w:rsidR="00D90239">
        <w:t xml:space="preserve"> </w:t>
      </w:r>
      <w:r w:rsidR="00474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miles per hour.</w:t>
      </w:r>
    </w:p>
    <w:p w14:paraId="1AAEA519" w14:textId="537E242A" w:rsidR="0047464C" w:rsidRDefault="007F7E57" w:rsidP="0047464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93E4982" wp14:editId="5596C96E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0B4CC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4746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7.RP.A.2 </w:t>
      </w:r>
      <w:r w:rsidR="0047464C">
        <w:rPr>
          <w:rFonts w:ascii="Times New Roman" w:eastAsia="Times New Roman" w:hAnsi="Times New Roman" w:cs="Times New Roman"/>
          <w:color w:val="000000"/>
          <w:sz w:val="24"/>
          <w:szCs w:val="24"/>
        </w:rPr>
        <w:t>Recognize and represent proportional relationships between quantities.</w:t>
      </w:r>
    </w:p>
    <w:p w14:paraId="390061C3" w14:textId="77777777" w:rsidR="0047464C" w:rsidRDefault="0047464C" w:rsidP="0047464C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Decide whether two quantities are in a proportional relationship, e.g., by testing for equivalent ratios in a table or graphing on a coordinate plane and observing whether the graph is a straight line through the origin.</w:t>
      </w:r>
    </w:p>
    <w:p w14:paraId="5EB339B9" w14:textId="77777777" w:rsidR="0047464C" w:rsidRDefault="0047464C" w:rsidP="0047464C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Identify the constant of proportionality (unit rate) in tables, graphs, equations, diagrams, and verbal descriptions of proportional relationships.</w:t>
      </w:r>
    </w:p>
    <w:p w14:paraId="34507FD3" w14:textId="77777777" w:rsidR="00D90239" w:rsidRDefault="007F7E57" w:rsidP="00D90239">
      <w:pPr>
        <w:spacing w:after="240" w:line="240" w:lineRule="auto"/>
        <w:ind w:left="245" w:hanging="245"/>
        <w:rPr>
          <w:rFonts w:ascii="Times New Roman" w:hAnsi="Times New Roman" w:cs="Times New Roman"/>
          <w:sz w:val="24"/>
        </w:rPr>
      </w:pPr>
      <w:r w:rsidRPr="00B95106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00848661" wp14:editId="7723E22B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1F9FF" w14:textId="77777777" w:rsidR="007F7E57" w:rsidRPr="0025693A" w:rsidRDefault="007F7E57" w:rsidP="007F7E5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84866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Z8ps0a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4841F9FF" w14:textId="77777777" w:rsidR="007F7E57" w:rsidRPr="0025693A" w:rsidRDefault="007F7E57" w:rsidP="007F7E5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7464C" w:rsidRPr="00B95106">
        <w:rPr>
          <w:rFonts w:ascii="Times New Roman" w:hAnsi="Times New Roman" w:cs="Times New Roman"/>
          <w:b/>
          <w:sz w:val="24"/>
        </w:rPr>
        <w:t>7.G.A.1</w:t>
      </w:r>
      <w:r w:rsidR="0047464C" w:rsidRPr="00B95106">
        <w:rPr>
          <w:rFonts w:ascii="Times New Roman" w:hAnsi="Times New Roman" w:cs="Times New Roman"/>
          <w:sz w:val="24"/>
        </w:rPr>
        <w:t xml:space="preserve"> Solve problems involving scale drawings of geometric figures, including computing actual lengths and areas from a scale drawing and</w:t>
      </w:r>
      <w:r w:rsidR="00D90239">
        <w:rPr>
          <w:rFonts w:ascii="Times New Roman" w:hAnsi="Times New Roman" w:cs="Times New Roman"/>
          <w:sz w:val="24"/>
        </w:rPr>
        <w:t xml:space="preserve"> </w:t>
      </w:r>
      <w:r w:rsidR="0047464C" w:rsidRPr="00B95106">
        <w:rPr>
          <w:rFonts w:ascii="Times New Roman" w:hAnsi="Times New Roman" w:cs="Times New Roman"/>
          <w:sz w:val="24"/>
        </w:rPr>
        <w:t>reproducing a scale dra</w:t>
      </w:r>
      <w:bookmarkStart w:id="0" w:name="_GoBack"/>
      <w:bookmarkEnd w:id="0"/>
      <w:r w:rsidR="0047464C" w:rsidRPr="00B95106">
        <w:rPr>
          <w:rFonts w:ascii="Times New Roman" w:hAnsi="Times New Roman" w:cs="Times New Roman"/>
          <w:sz w:val="24"/>
        </w:rPr>
        <w:t>wing at a different scale.</w:t>
      </w:r>
    </w:p>
    <w:p w14:paraId="1AD32616" w14:textId="1C6A47C8" w:rsidR="00F749C6" w:rsidRPr="00832D26" w:rsidRDefault="003F6042" w:rsidP="00D90239">
      <w:pPr>
        <w:spacing w:after="240" w:line="240" w:lineRule="auto"/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4D26A1D7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E1B90F7" w14:textId="62954818" w:rsidR="003C5C77" w:rsidRDefault="003C5C77" w:rsidP="003C5C77"/>
    <w:p w14:paraId="13FB9DEF" w14:textId="36E68BCD" w:rsidR="003C5C77" w:rsidRDefault="003C5C77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BD6D7A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6CB950A" w:rsidR="00BD6D7A" w:rsidRPr="00BD6D7A" w:rsidRDefault="00BD6D7A" w:rsidP="00BD6D7A">
            <w:pPr>
              <w:spacing w:after="240"/>
              <w:rPr>
                <w:rFonts w:ascii="Times New Roman" w:hAnsi="Times New Roman" w:cs="Times New Roman"/>
              </w:rPr>
            </w:pPr>
            <w:r w:rsidRPr="009C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7.RP.A.1 – WALT </w:t>
            </w:r>
            <w:r w:rsidRPr="009C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compute unit rates involving ratios of fractions (complex fractions) in quantities measured in like or different unit</w:t>
            </w:r>
          </w:p>
        </w:tc>
        <w:tc>
          <w:tcPr>
            <w:tcW w:w="2878" w:type="dxa"/>
          </w:tcPr>
          <w:p w14:paraId="569A3B3F" w14:textId="34B37ECD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D6D7A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B217D3F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C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7.RP.A.2 – WALT </w:t>
            </w:r>
            <w:r w:rsidRPr="009C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decide whether two quantities show a proportional relationship by testing for equivalent ratios in a table</w:t>
            </w:r>
          </w:p>
        </w:tc>
        <w:tc>
          <w:tcPr>
            <w:tcW w:w="2878" w:type="dxa"/>
          </w:tcPr>
          <w:p w14:paraId="31EFE459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D6D7A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1ECEA0D9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C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7.RP.A.2 – WALT </w:t>
            </w:r>
            <w:r w:rsidRPr="009C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decide whether two quantities show a proportional relationship by graphing on a coordinate plane and </w:t>
            </w:r>
            <w:r w:rsidRPr="009C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observing whether the graph is a straight line through the origin</w:t>
            </w:r>
          </w:p>
        </w:tc>
        <w:tc>
          <w:tcPr>
            <w:tcW w:w="2878" w:type="dxa"/>
          </w:tcPr>
          <w:p w14:paraId="010B0DB9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D6D7A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77FD58D4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C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7.RP.A.2 – WALT </w:t>
            </w:r>
            <w:r w:rsidRPr="009C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the constant of proportionality (unit rate) in equations and verbal descriptions of proportional relationships</w:t>
            </w:r>
          </w:p>
        </w:tc>
        <w:tc>
          <w:tcPr>
            <w:tcW w:w="2878" w:type="dxa"/>
          </w:tcPr>
          <w:p w14:paraId="7970C1A2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D6D7A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D45BF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C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7.RP.A.1 – WALT </w:t>
            </w:r>
            <w:r w:rsidRPr="009C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the constant of proportionality (unit rate) in tables, graphs, and diagrams</w:t>
            </w:r>
          </w:p>
        </w:tc>
        <w:tc>
          <w:tcPr>
            <w:tcW w:w="2878" w:type="dxa"/>
          </w:tcPr>
          <w:p w14:paraId="06A5CCCC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D6D7A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07CF1B3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9C6B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7.G.A.1 – WALT </w:t>
            </w:r>
            <w:r w:rsidRPr="009C6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problems involving scale drawings of geometric figures, including computing actual lengths and areas from a scale drawing and reproducing a scale drawing at a different scale</w:t>
            </w:r>
          </w:p>
        </w:tc>
        <w:tc>
          <w:tcPr>
            <w:tcW w:w="2878" w:type="dxa"/>
          </w:tcPr>
          <w:p w14:paraId="11EB0F8F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BD6D7A" w:rsidRPr="0056576B" w:rsidRDefault="00BD6D7A" w:rsidP="00BD6D7A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18D23" w14:textId="77777777" w:rsidR="00871EBA" w:rsidRDefault="00871EBA" w:rsidP="002E2912">
      <w:pPr>
        <w:spacing w:after="0" w:line="240" w:lineRule="auto"/>
      </w:pPr>
      <w:r>
        <w:separator/>
      </w:r>
    </w:p>
  </w:endnote>
  <w:endnote w:type="continuationSeparator" w:id="0">
    <w:p w14:paraId="6365E36D" w14:textId="77777777" w:rsidR="00871EBA" w:rsidRDefault="00871EBA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9B23" w14:textId="77777777" w:rsidR="00A67821" w:rsidRDefault="00A67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6CCC0842" w:rsidR="003F6042" w:rsidRDefault="003F6042" w:rsidP="003F6042">
    <w:pPr>
      <w:pStyle w:val="Footer"/>
    </w:pPr>
    <w:r>
      <w:t>CAR_Mathematics-Gr.</w:t>
    </w:r>
    <w:r w:rsidR="00A67821">
      <w:t>7</w:t>
    </w:r>
    <w:r>
      <w:t xml:space="preserve">-Unit </w:t>
    </w:r>
    <w:r w:rsidR="00A67821">
      <w:t>3</w:t>
    </w:r>
    <w:r>
      <w:t xml:space="preserve">-Module </w:t>
    </w:r>
    <w:r w:rsidR="00A67821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BA50" w14:textId="77777777" w:rsidR="00A67821" w:rsidRDefault="00A67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885C5" w14:textId="77777777" w:rsidR="00871EBA" w:rsidRDefault="00871EBA" w:rsidP="002E2912">
      <w:pPr>
        <w:spacing w:after="0" w:line="240" w:lineRule="auto"/>
      </w:pPr>
      <w:r>
        <w:separator/>
      </w:r>
    </w:p>
  </w:footnote>
  <w:footnote w:type="continuationSeparator" w:id="0">
    <w:p w14:paraId="20C72ACC" w14:textId="77777777" w:rsidR="00871EBA" w:rsidRDefault="00871EBA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1047" w14:textId="77777777" w:rsidR="00A67821" w:rsidRDefault="00A67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F2011" w14:textId="77777777" w:rsidR="00A67821" w:rsidRDefault="00A67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C145A" w14:textId="77777777" w:rsidR="00A67821" w:rsidRDefault="00A67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340D7"/>
    <w:rsid w:val="00360592"/>
    <w:rsid w:val="00363A81"/>
    <w:rsid w:val="003B521D"/>
    <w:rsid w:val="003C5C77"/>
    <w:rsid w:val="003E5759"/>
    <w:rsid w:val="003F6042"/>
    <w:rsid w:val="004405D2"/>
    <w:rsid w:val="0047464C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7F7E57"/>
    <w:rsid w:val="00800A4D"/>
    <w:rsid w:val="00825CE4"/>
    <w:rsid w:val="00831318"/>
    <w:rsid w:val="00832D26"/>
    <w:rsid w:val="00871EBA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67821"/>
    <w:rsid w:val="00AE60F0"/>
    <w:rsid w:val="00AE7BAB"/>
    <w:rsid w:val="00B013A0"/>
    <w:rsid w:val="00B10EA3"/>
    <w:rsid w:val="00B86739"/>
    <w:rsid w:val="00B95106"/>
    <w:rsid w:val="00BA6F9F"/>
    <w:rsid w:val="00BD6D7A"/>
    <w:rsid w:val="00CA3EA2"/>
    <w:rsid w:val="00D2140D"/>
    <w:rsid w:val="00D42ED9"/>
    <w:rsid w:val="00D61E4D"/>
    <w:rsid w:val="00D90239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47464C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9</cp:revision>
  <dcterms:created xsi:type="dcterms:W3CDTF">2019-08-15T14:57:00Z</dcterms:created>
  <dcterms:modified xsi:type="dcterms:W3CDTF">2019-08-19T16:07:00Z</dcterms:modified>
</cp:coreProperties>
</file>